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D81126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D81126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D81126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D81126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792A9D" w:rsidP="000262D9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Gastrointestinal System and Metabolism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792A9D" w:rsidP="004F6DB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MED1002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792A9D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81126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022041" w:rsidRDefault="00BF6F03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>101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792A9D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6</w:t>
            </w:r>
          </w:p>
        </w:tc>
      </w:tr>
      <w:tr w:rsidR="00846091" w:rsidRPr="00D81126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>School o</w:t>
            </w:r>
            <w:r w:rsidR="00B503CE" w:rsidRPr="00D81126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D8112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D81126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D81126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BF6F03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BF6F03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- Development of body cavities and diaphragm. Clinically oriented problems</w:t>
            </w:r>
          </w:p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-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Introduction to Digestive System, Components of Oral Cavity.</w:t>
            </w:r>
          </w:p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eastAsia="Merriweather" w:hAnsiTheme="minorHAnsi" w:cstheme="minorHAnsi"/>
                <w:lang w:val="en-US"/>
              </w:rPr>
              <w:t>Tongue, teeth, hard palate, soft palate and muscles Sublingual gland, submandibul</w:t>
            </w:r>
            <w:r w:rsidR="00BF6F03" w:rsidRPr="00BF6F03">
              <w:rPr>
                <w:rFonts w:asciiTheme="minorHAnsi" w:eastAsia="Merriweather" w:hAnsiTheme="minorHAnsi" w:cstheme="minorHAnsi"/>
                <w:lang w:val="en-US"/>
              </w:rPr>
              <w:t xml:space="preserve">ar gland, parotid gland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Pharynx,. Walls of gut</w:t>
            </w:r>
          </w:p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gastroıntenstınal organs</w:t>
            </w:r>
          </w:p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General organization of digestive system, Cephalic and gastric phase of digestion.  Intestinal phase of digestion. Regulation of gastrointestina motility and secretions.   Large intestine.</w:t>
            </w:r>
          </w:p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Introduction to metabolism.Glycolysis and its regulation.  Electron transport chain and ATP synthesis.TCA and Regulation.</w:t>
            </w:r>
          </w:p>
          <w:p w:rsidR="00792A9D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b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Medical Biology/Medical Genetics</w:t>
            </w: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-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Mutations and repair.</w:t>
            </w: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 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b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-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Histology of Upper GIS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b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PBL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-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Accessory organs : Liver and Gallbladder (biliary vesicle), Porta hepatis and its tributarie. Peritoneum (visceral and parietal layers): Greater and lesser omentum, Omental Bursa, Omental Foramen (foramen epiploicum).Mesenteries.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gastroıntenstınal organs</w:t>
            </w:r>
          </w:p>
          <w:p w:rsidR="00355C1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</w:rPr>
              <w:t>Radiologic Anatomy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Images  of   the Gastrointestinal  System - I; Images  of   the Gastrointestinal  System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–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II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Images  of   the Gastrointestinal  System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–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II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Physiology -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Gastrointestinal Blood Flow—“Splanchnic Circulation”, Regulation of gastrointestinal function, Propulsion and Mixing of Food in the Alimentary Tract;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Biochemistry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Gluconeogenesis and its regulation. . Biosynthesis and breakdown of glycogen.Integration of glycolysis and glycogen metabolism. Pentose Phosphate  Pathway &amp; Other Pathways of Hexose Metabolism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Medical Biology/Medical Genetics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Mechanisms of programmed cell death (apoptosis) clinical outcome.  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Clinical Visits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Collection of clinical cases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Embryology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Development of foregut. Development of midgut and hindgut.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Histology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Histology of Lower GIS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Anatomy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- Oesophagus, Stomach, duodenum, Pancreas and spleen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Cadaver Lab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gastroıntenstınal organs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lastRenderedPageBreak/>
              <w:t>Radiologic Anatomy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</w:t>
            </w:r>
            <w:r w:rsidR="00BF6F03" w:rsidRPr="00BF6F03">
              <w:rPr>
                <w:rFonts w:asciiTheme="minorHAnsi" w:eastAsia="Merriweather" w:hAnsiTheme="minorHAnsi" w:cstheme="minorHAnsi"/>
                <w:lang w:val="en-US"/>
              </w:rPr>
              <w:t xml:space="preserve">Images of the Biliary System and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The  Pancreas ; Images  of  the  Peritoneal Cavity an</w:t>
            </w:r>
            <w:r w:rsidR="00BF6F03" w:rsidRPr="00BF6F03">
              <w:rPr>
                <w:rFonts w:asciiTheme="minorHAnsi" w:eastAsia="Merriweather" w:hAnsiTheme="minorHAnsi" w:cstheme="minorHAnsi"/>
                <w:lang w:val="en-US"/>
              </w:rPr>
              <w:t xml:space="preserve">d  the  Abdominal Wall. Images of   the Gastrointestinal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Syst</w:t>
            </w:r>
            <w:r w:rsidR="00BF6F03" w:rsidRPr="00BF6F03">
              <w:rPr>
                <w:rFonts w:asciiTheme="minorHAnsi" w:eastAsia="Merriweather" w:hAnsiTheme="minorHAnsi" w:cstheme="minorHAnsi"/>
                <w:lang w:val="en-US"/>
              </w:rPr>
              <w:t xml:space="preserve">em - I; Images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of   the Gastrointestinal  System - II Images of  the Biliary  System  and  The  Pancreas ; Images  of  the  Peritoneal Cavity and  the  Abdominal Wall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Physiology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- Chemical digestion of nutrients (Fat; Proteins); Lab: Gastrointestinal peristalses, simulation of GI motility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Biochemistry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Biosynthesis of lipids. Biosynthesis of cholesterol. Biosynthesis of fatty acis and allosteric regulation. Oxidation of fatty acids and its regulation. Biosyntesis of triacylglycerol.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Medical Biology/Medical Genetics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Introduction of genetics, concepts of genetic.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Embryology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Development of foregut. Development of midgut and hindgut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Histology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Histology of Liver, Bile Ducts, Gall Bladder, and Pancreas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Anatomy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Small Intestine,  Large Intestine.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Cadaver Lab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gastroıntenstınal organs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Physiology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Secretory Functions of the Alimentary Tract, Digestion and absorption of food,Absorption of nutrients and water.  Functions of the liver, Energy metabolism, hunger  and obesity;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Med. Microbiology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Normal flora, pathogenisity of microorganisms, host-microbial interaction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Biochemistry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Biosynthesis of amino acid and nitrogenous compounds.Oxidation of Amino Acids.Nucleic acid metabolism. Regulation of enzymes in metabolism. LAB: Construction of a calibration curve for the determination of glucose concentration,Determining the glucose concentration.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Medical Biology/Medical Genetics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>Mendelian, monogenic inheritance, major principles. Test cross.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Clinical Visits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Collection of clinical cases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Clinical Skills</w:t>
            </w:r>
            <w:r w:rsidRPr="00BF6F03">
              <w:rPr>
                <w:rFonts w:asciiTheme="minorHAnsi" w:eastAsia="Merriweather" w:hAnsiTheme="minorHAnsi" w:cstheme="minorHAnsi"/>
                <w:lang w:val="en-US"/>
              </w:rPr>
              <w:t xml:space="preserve"> - Enema Administration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b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PBL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PPT</w:t>
            </w:r>
          </w:p>
          <w:p w:rsidR="00E126A7" w:rsidRPr="00BF6F03" w:rsidRDefault="00E126A7" w:rsidP="00E126A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b/>
                <w:lang w:val="en-US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lang w:val="en-US"/>
              </w:rPr>
              <w:t>Review Hs</w:t>
            </w:r>
          </w:p>
        </w:tc>
      </w:tr>
      <w:tr w:rsidR="00C104DA" w:rsidRPr="00BF6F03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BF6F03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BF6F03"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 w:rsidRPr="00BF6F03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 w:rsidRPr="00BF6F03"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RPr="00BF6F03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9D" w:rsidRPr="00BF6F03" w:rsidRDefault="00792A9D" w:rsidP="00792A9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               Anatomy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Elsevier's Integrated Anatomy and Embryology- </w:t>
            </w:r>
            <w:r w:rsidRPr="00BF6F03">
              <w:rPr>
                <w:rFonts w:asciiTheme="minorHAnsi" w:hAnsiTheme="minorHAnsi" w:cstheme="minorHAnsi"/>
                <w:color w:val="000000"/>
              </w:rPr>
              <w:t>Bogart  Bruce Ian; Ort Victoria; Mosby Elsevier; 2007;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Human Anatomy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-Elaine N. Marieb; Pearson; </w:t>
            </w:r>
            <w:r w:rsidRPr="00BF6F03">
              <w:rPr>
                <w:rFonts w:asciiTheme="minorHAnsi" w:hAnsiTheme="minorHAnsi" w:cstheme="minorHAnsi"/>
              </w:rPr>
              <w:t>12</w:t>
            </w:r>
            <w:r w:rsidRPr="00BF6F03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th </w:t>
            </w:r>
            <w:r w:rsidRPr="00BF6F03">
              <w:rPr>
                <w:rFonts w:asciiTheme="minorHAnsi" w:hAnsiTheme="minorHAnsi" w:cstheme="minorHAnsi"/>
                <w:color w:val="000000"/>
              </w:rPr>
              <w:t>ed.; 20</w:t>
            </w:r>
            <w:r w:rsidRPr="00BF6F03">
              <w:rPr>
                <w:rFonts w:asciiTheme="minorHAnsi" w:hAnsiTheme="minorHAnsi" w:cstheme="minorHAnsi"/>
              </w:rPr>
              <w:t>23</w:t>
            </w:r>
            <w:r w:rsidRPr="00BF6F03"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Sobotta Atlas of Human Anatomy</w:t>
            </w:r>
            <w:r w:rsidRPr="00BF6F03">
              <w:rPr>
                <w:rFonts w:asciiTheme="minorHAnsi" w:hAnsiTheme="minorHAnsi" w:cstheme="minorHAnsi"/>
                <w:color w:val="000000"/>
              </w:rPr>
              <w:t>.</w:t>
            </w:r>
            <w:r w:rsidRPr="00BF6F03">
              <w:rPr>
                <w:rFonts w:asciiTheme="minorHAnsi" w:hAnsiTheme="minorHAnsi" w:cstheme="minorHAnsi"/>
                <w:b/>
                <w:color w:val="000000"/>
              </w:rPr>
              <w:t>Tables of Muscles, Joints,and Nerves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-F.Paulsen;J.Waschke; Urban &amp; Fischer; </w:t>
            </w:r>
            <w:r w:rsidRPr="00BF6F03">
              <w:rPr>
                <w:rFonts w:asciiTheme="minorHAnsi" w:hAnsiTheme="minorHAnsi" w:cstheme="minorHAnsi"/>
              </w:rPr>
              <w:t>16</w:t>
            </w:r>
            <w:r w:rsidRPr="00BF6F03">
              <w:rPr>
                <w:rFonts w:asciiTheme="minorHAnsi" w:hAnsiTheme="minorHAnsi" w:cstheme="minorHAnsi"/>
                <w:color w:val="000000"/>
                <w:vertAlign w:val="superscript"/>
              </w:rPr>
              <w:t>st</w:t>
            </w:r>
            <w:r w:rsidRPr="00BF6F03">
              <w:rPr>
                <w:rFonts w:asciiTheme="minorHAnsi" w:hAnsiTheme="minorHAnsi" w:cstheme="minorHAnsi"/>
                <w:color w:val="000000"/>
              </w:rPr>
              <w:t>. edition; 201</w:t>
            </w:r>
            <w:r w:rsidRPr="00BF6F03">
              <w:rPr>
                <w:rFonts w:asciiTheme="minorHAnsi" w:hAnsiTheme="minorHAnsi" w:cstheme="minorHAnsi"/>
              </w:rPr>
              <w:t>8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:rsidR="00792A9D" w:rsidRPr="00BF6F03" w:rsidRDefault="00792A9D" w:rsidP="00792A9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              Rad. Anatomy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Learning Radiology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BF6F03">
              <w:rPr>
                <w:rFonts w:asciiTheme="minorHAnsi" w:hAnsiTheme="minorHAnsi" w:cstheme="minorHAnsi"/>
                <w:b/>
                <w:color w:val="000000"/>
              </w:rPr>
              <w:t>Recognizing the Basics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 -William Herring. 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color w:val="000000"/>
              </w:rPr>
              <w:t>Elsevier Mosby; 2</w:t>
            </w:r>
            <w:r w:rsidRPr="00BF6F03">
              <w:rPr>
                <w:rFonts w:asciiTheme="minorHAnsi" w:hAnsiTheme="minorHAnsi" w:cstheme="minorHAnsi"/>
                <w:color w:val="000000"/>
                <w:vertAlign w:val="superscript"/>
              </w:rPr>
              <w:t>nd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 ed. 2012;</w:t>
            </w:r>
          </w:p>
          <w:p w:rsidR="00792A9D" w:rsidRPr="00BF6F03" w:rsidRDefault="00792A9D" w:rsidP="00792A9D">
            <w:pPr>
              <w:rPr>
                <w:rFonts w:asciiTheme="minorHAnsi" w:hAnsiTheme="minorHAnsi" w:cstheme="minorHAnsi"/>
                <w:b/>
              </w:rPr>
            </w:pPr>
            <w:r w:rsidRPr="00BF6F03">
              <w:rPr>
                <w:rFonts w:asciiTheme="minorHAnsi" w:hAnsiTheme="minorHAnsi" w:cstheme="minorHAnsi"/>
                <w:b/>
              </w:rPr>
              <w:t xml:space="preserve">              Biochemistry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Biochemistry : 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Lippincott illustrated reviews - 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Ferrier, Denise R; 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Wolters Kluwer; 7 </w:t>
            </w:r>
            <w:r w:rsidRPr="00BF6F03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th. </w:t>
            </w:r>
            <w:r w:rsidRPr="00BF6F03">
              <w:rPr>
                <w:rFonts w:asciiTheme="minorHAnsi" w:hAnsiTheme="minorHAnsi" w:cstheme="minorHAnsi"/>
                <w:color w:val="000000"/>
              </w:rPr>
              <w:t>ed. 2017;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lastRenderedPageBreak/>
              <w:t>Marks' basic medical biochemistry: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b/>
                <w:color w:val="000000"/>
              </w:rPr>
              <w:t>a clinical approach-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color w:val="000000"/>
              </w:rPr>
              <w:t>Lieberman, Michael; Wolters Kluwer Health; 4</w:t>
            </w:r>
            <w:r w:rsidRPr="00BF6F03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Pr="00BF6F03">
              <w:rPr>
                <w:rFonts w:asciiTheme="minorHAnsi" w:hAnsiTheme="minorHAnsi" w:cstheme="minorHAnsi"/>
                <w:color w:val="000000"/>
              </w:rPr>
              <w:t>.ed. 2018</w:t>
            </w:r>
          </w:p>
          <w:p w:rsidR="00792A9D" w:rsidRPr="00BF6F03" w:rsidRDefault="00792A9D" w:rsidP="00792A9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Histology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mallCaps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>Junqueira's Basic Histology : Text and Atlas-  Anthony L. Mescher; McGraw Hill Education; 1</w:t>
            </w:r>
            <w:r w:rsidRPr="00BF6F03">
              <w:rPr>
                <w:rFonts w:asciiTheme="minorHAnsi" w:hAnsiTheme="minorHAnsi" w:cstheme="minorHAnsi"/>
                <w:b/>
                <w:smallCaps/>
              </w:rPr>
              <w:t>6</w:t>
            </w: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>th Ed. 20</w:t>
            </w:r>
            <w:r w:rsidRPr="00BF6F03">
              <w:rPr>
                <w:rFonts w:asciiTheme="minorHAnsi" w:hAnsiTheme="minorHAnsi" w:cstheme="minorHAnsi"/>
                <w:b/>
                <w:smallCaps/>
              </w:rPr>
              <w:t>21</w:t>
            </w: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>;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Histology and cell biology: </w:t>
            </w:r>
            <w:r w:rsidRPr="00BF6F03">
              <w:rPr>
                <w:rFonts w:asciiTheme="minorHAnsi" w:hAnsiTheme="minorHAnsi" w:cstheme="minorHAnsi"/>
                <w:b/>
              </w:rPr>
              <w:t xml:space="preserve"> </w:t>
            </w:r>
            <w:r w:rsidRPr="00BF6F03">
              <w:rPr>
                <w:rFonts w:asciiTheme="minorHAnsi" w:hAnsiTheme="minorHAnsi" w:cstheme="minorHAnsi"/>
                <w:b/>
                <w:color w:val="000000"/>
              </w:rPr>
              <w:t>an introduction to pathology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- Elsevier Saunders; </w:t>
            </w:r>
            <w:r w:rsidRPr="00BF6F03">
              <w:rPr>
                <w:rFonts w:asciiTheme="minorHAnsi" w:hAnsiTheme="minorHAnsi" w:cstheme="minorHAnsi"/>
              </w:rPr>
              <w:t>5</w:t>
            </w:r>
            <w:r w:rsidRPr="00BF6F03">
              <w:rPr>
                <w:rFonts w:asciiTheme="minorHAnsi" w:hAnsiTheme="minorHAnsi" w:cstheme="minorHAnsi"/>
                <w:color w:val="000000"/>
                <w:vertAlign w:val="superscript"/>
              </w:rPr>
              <w:t>rd</w:t>
            </w:r>
            <w:r w:rsidRPr="00BF6F03">
              <w:rPr>
                <w:rFonts w:asciiTheme="minorHAnsi" w:hAnsiTheme="minorHAnsi" w:cstheme="minorHAnsi"/>
                <w:color w:val="000000"/>
              </w:rPr>
              <w:t>.ed;  20</w:t>
            </w:r>
            <w:r w:rsidRPr="00BF6F03">
              <w:rPr>
                <w:rFonts w:asciiTheme="minorHAnsi" w:hAnsiTheme="minorHAnsi" w:cstheme="minorHAnsi"/>
              </w:rPr>
              <w:t>20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;  </w:t>
            </w:r>
          </w:p>
          <w:p w:rsidR="00792A9D" w:rsidRPr="00BF6F03" w:rsidRDefault="00792A9D" w:rsidP="00792A9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Embryology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The Developing Human: Clinically Oriented Embryology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 - Keith Moore L; Persaud T.V.N;Mark G Torchia; Elsevier Saunders.  1</w:t>
            </w:r>
            <w:r w:rsidRPr="00BF6F03">
              <w:rPr>
                <w:rFonts w:asciiTheme="minorHAnsi" w:hAnsiTheme="minorHAnsi" w:cstheme="minorHAnsi"/>
              </w:rPr>
              <w:t>1</w:t>
            </w:r>
            <w:r w:rsidRPr="00BF6F03">
              <w:rPr>
                <w:rFonts w:asciiTheme="minorHAnsi" w:hAnsiTheme="minorHAnsi" w:cstheme="minorHAnsi"/>
                <w:color w:val="000000"/>
              </w:rPr>
              <w:t>th ed. 20</w:t>
            </w:r>
            <w:r w:rsidRPr="00BF6F03">
              <w:rPr>
                <w:rFonts w:asciiTheme="minorHAnsi" w:hAnsiTheme="minorHAnsi" w:cstheme="minorHAnsi"/>
              </w:rPr>
              <w:t>20</w:t>
            </w:r>
            <w:r w:rsidRPr="00BF6F03"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792A9D" w:rsidRPr="00BF6F03" w:rsidRDefault="00792A9D" w:rsidP="00792A9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Biophysics 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mallCaps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>Biological and Medical Physics-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>Tamar Sanikidze;</w:t>
            </w:r>
            <w:r w:rsidRPr="00BF6F03">
              <w:rPr>
                <w:rFonts w:asciiTheme="minorHAnsi" w:hAnsiTheme="minorHAnsi" w:cstheme="minorHAnsi"/>
              </w:rPr>
              <w:t xml:space="preserve"> 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 xml:space="preserve">West </w:t>
            </w:r>
            <w:r w:rsidRPr="00BF6F03">
              <w:rPr>
                <w:rFonts w:asciiTheme="minorHAnsi" w:hAnsiTheme="minorHAnsi" w:cstheme="minorHAnsi"/>
                <w:smallCaps/>
              </w:rPr>
              <w:t>Pomeranian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 xml:space="preserve"> University of Technology ; V-1/ V-2. 2016</w:t>
            </w:r>
          </w:p>
          <w:p w:rsidR="00792A9D" w:rsidRPr="00BF6F03" w:rsidRDefault="00792A9D" w:rsidP="00792A9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MOLECULAR BIOLOGY/GENETICS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mallCaps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Molecular Biology of the Cell - 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 xml:space="preserve">Bruce Alberts, Alexander Johnson; Garland Science; </w:t>
            </w:r>
            <w:r w:rsidRPr="00BF6F03">
              <w:rPr>
                <w:rFonts w:asciiTheme="minorHAnsi" w:hAnsiTheme="minorHAnsi" w:cstheme="minorHAnsi"/>
                <w:smallCaps/>
              </w:rPr>
              <w:t>7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>th ed. 20</w:t>
            </w:r>
            <w:r w:rsidRPr="00BF6F03">
              <w:rPr>
                <w:rFonts w:asciiTheme="minorHAnsi" w:hAnsiTheme="minorHAnsi" w:cstheme="minorHAnsi"/>
                <w:smallCaps/>
              </w:rPr>
              <w:t>22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>;</w:t>
            </w:r>
          </w:p>
          <w:p w:rsidR="00792A9D" w:rsidRPr="00BF6F03" w:rsidRDefault="00792A9D" w:rsidP="00792A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            Physiology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2268"/>
              </w:tabs>
              <w:ind w:right="57"/>
              <w:jc w:val="both"/>
              <w:rPr>
                <w:rFonts w:asciiTheme="minorHAnsi" w:hAnsiTheme="minorHAnsi" w:cstheme="minorHAnsi"/>
                <w:smallCaps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Guyton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 xml:space="preserve"> a</w:t>
            </w:r>
            <w:r w:rsidRPr="00BF6F03">
              <w:rPr>
                <w:rFonts w:asciiTheme="minorHAnsi" w:hAnsiTheme="minorHAnsi" w:cstheme="minorHAnsi"/>
                <w:b/>
                <w:smallCaps/>
                <w:color w:val="000000"/>
              </w:rPr>
              <w:t>nd Hall textbook of medical physiology-</w:t>
            </w:r>
            <w:r w:rsidRPr="00BF6F0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>Hall, John E; Elsevier; 1</w:t>
            </w:r>
            <w:r w:rsidRPr="00BF6F03">
              <w:rPr>
                <w:rFonts w:asciiTheme="minorHAnsi" w:hAnsiTheme="minorHAnsi" w:cstheme="minorHAnsi"/>
                <w:smallCaps/>
              </w:rPr>
              <w:t>4</w:t>
            </w:r>
            <w:r w:rsidRPr="00BF6F03">
              <w:rPr>
                <w:rFonts w:asciiTheme="minorHAnsi" w:hAnsiTheme="minorHAnsi" w:cstheme="minorHAnsi"/>
                <w:smallCaps/>
                <w:color w:val="000000"/>
                <w:vertAlign w:val="superscript"/>
              </w:rPr>
              <w:t>th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>.ed. 20</w:t>
            </w:r>
            <w:r w:rsidRPr="00BF6F03">
              <w:rPr>
                <w:rFonts w:asciiTheme="minorHAnsi" w:hAnsiTheme="minorHAnsi" w:cstheme="minorHAnsi"/>
                <w:smallCaps/>
              </w:rPr>
              <w:t>21</w:t>
            </w:r>
            <w:r w:rsidRPr="00BF6F03">
              <w:rPr>
                <w:rFonts w:asciiTheme="minorHAnsi" w:hAnsiTheme="minorHAnsi" w:cstheme="minorHAnsi"/>
                <w:smallCaps/>
                <w:color w:val="000000"/>
              </w:rPr>
              <w:t>;</w:t>
            </w:r>
          </w:p>
          <w:p w:rsidR="00792A9D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Elsevier's Integrated Physiology- </w:t>
            </w:r>
            <w:r w:rsidRPr="00BF6F03">
              <w:rPr>
                <w:rFonts w:asciiTheme="minorHAnsi" w:hAnsiTheme="minorHAnsi" w:cstheme="minorHAnsi"/>
                <w:color w:val="000000"/>
              </w:rPr>
              <w:t>Robert G. Carroll; Mosby Elsevier; 2007;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Lehninger principles of biochemistry-</w:t>
            </w:r>
            <w:r w:rsidRPr="00BF6F03">
              <w:rPr>
                <w:rFonts w:asciiTheme="minorHAnsi" w:hAnsiTheme="minorHAnsi" w:cstheme="minorHAnsi"/>
                <w:color w:val="000000"/>
              </w:rPr>
              <w:t>David L.Nelson; Michael M.Cox W.H. Freeman and Company; 6h.ed. 2013;</w:t>
            </w:r>
          </w:p>
          <w:p w:rsidR="00792A9D" w:rsidRPr="00BF6F03" w:rsidRDefault="00792A9D" w:rsidP="00792A9D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Textbook of Biochemistry with Clinical Correlations- </w:t>
            </w:r>
            <w:r w:rsidRPr="00BF6F03">
              <w:rPr>
                <w:rFonts w:asciiTheme="minorHAnsi" w:hAnsiTheme="minorHAnsi" w:cstheme="minorHAnsi"/>
                <w:color w:val="000000"/>
              </w:rPr>
              <w:t>Thomas M. Devlin;  John Wiley &amp; Sons, Inc. 7th.ed. 2011;</w:t>
            </w:r>
          </w:p>
          <w:p w:rsidR="004F6DB0" w:rsidRPr="00BF6F03" w:rsidRDefault="00792A9D" w:rsidP="00792A9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F03">
              <w:rPr>
                <w:rFonts w:asciiTheme="minorHAnsi" w:hAnsiTheme="minorHAnsi" w:cstheme="minorHAnsi"/>
                <w:b/>
                <w:color w:val="000000"/>
              </w:rPr>
              <w:t>Problem-Based Physiology</w:t>
            </w:r>
            <w:r w:rsidRPr="00BF6F03">
              <w:rPr>
                <w:rFonts w:asciiTheme="minorHAnsi" w:hAnsiTheme="minorHAnsi" w:cstheme="minorHAnsi"/>
                <w:color w:val="000000"/>
              </w:rPr>
              <w:t>-</w:t>
            </w:r>
            <w:r w:rsidRPr="00BF6F0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BF6F03">
              <w:rPr>
                <w:rFonts w:asciiTheme="minorHAnsi" w:hAnsiTheme="minorHAnsi" w:cstheme="minorHAnsi"/>
                <w:color w:val="000000"/>
              </w:rPr>
              <w:t>Robert G. Carroll; Elsevier Sounders; 1st.ed. 2010;</w:t>
            </w:r>
          </w:p>
        </w:tc>
      </w:tr>
    </w:tbl>
    <w:p w:rsidR="00846091" w:rsidRPr="00BF6F03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BF6F03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BF6F03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BF6F03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CB" w:rsidRDefault="003C0ECB">
      <w:pPr>
        <w:spacing w:after="0" w:line="240" w:lineRule="auto"/>
      </w:pPr>
      <w:r>
        <w:separator/>
      </w:r>
    </w:p>
  </w:endnote>
  <w:endnote w:type="continuationSeparator" w:id="0">
    <w:p w:rsidR="003C0ECB" w:rsidRDefault="003C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6F03">
      <w:rPr>
        <w:noProof/>
        <w:color w:val="000000"/>
      </w:rPr>
      <w:t>3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CB" w:rsidRDefault="003C0ECB">
      <w:pPr>
        <w:spacing w:after="0" w:line="240" w:lineRule="auto"/>
      </w:pPr>
      <w:r>
        <w:separator/>
      </w:r>
    </w:p>
  </w:footnote>
  <w:footnote w:type="continuationSeparator" w:id="0">
    <w:p w:rsidR="003C0ECB" w:rsidRDefault="003C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0C59BA"/>
    <w:multiLevelType w:val="hybridMultilevel"/>
    <w:tmpl w:val="DF04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0A1330"/>
    <w:multiLevelType w:val="multilevel"/>
    <w:tmpl w:val="A6442F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BC3739E"/>
    <w:multiLevelType w:val="multilevel"/>
    <w:tmpl w:val="A3B28D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11"/>
  </w:num>
  <w:num w:numId="5">
    <w:abstractNumId w:val="20"/>
  </w:num>
  <w:num w:numId="6">
    <w:abstractNumId w:val="1"/>
  </w:num>
  <w:num w:numId="7">
    <w:abstractNumId w:val="10"/>
  </w:num>
  <w:num w:numId="8">
    <w:abstractNumId w:val="22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9"/>
  </w:num>
  <w:num w:numId="14">
    <w:abstractNumId w:val="17"/>
  </w:num>
  <w:num w:numId="15">
    <w:abstractNumId w:val="0"/>
  </w:num>
  <w:num w:numId="16">
    <w:abstractNumId w:val="23"/>
  </w:num>
  <w:num w:numId="17">
    <w:abstractNumId w:val="6"/>
  </w:num>
  <w:num w:numId="18">
    <w:abstractNumId w:val="4"/>
  </w:num>
  <w:num w:numId="19">
    <w:abstractNumId w:val="5"/>
  </w:num>
  <w:num w:numId="20">
    <w:abstractNumId w:val="18"/>
  </w:num>
  <w:num w:numId="21">
    <w:abstractNumId w:val="21"/>
  </w:num>
  <w:num w:numId="22">
    <w:abstractNumId w:val="2"/>
  </w:num>
  <w:num w:numId="23">
    <w:abstractNumId w:val="9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22041"/>
    <w:rsid w:val="000262D9"/>
    <w:rsid w:val="0004277E"/>
    <w:rsid w:val="001F3123"/>
    <w:rsid w:val="00220260"/>
    <w:rsid w:val="00323895"/>
    <w:rsid w:val="00355C17"/>
    <w:rsid w:val="00386726"/>
    <w:rsid w:val="003C0ECB"/>
    <w:rsid w:val="003F1008"/>
    <w:rsid w:val="0044765A"/>
    <w:rsid w:val="004F6DB0"/>
    <w:rsid w:val="005017EF"/>
    <w:rsid w:val="007400F7"/>
    <w:rsid w:val="00792A9D"/>
    <w:rsid w:val="007A409E"/>
    <w:rsid w:val="008302BD"/>
    <w:rsid w:val="00846091"/>
    <w:rsid w:val="008B13BE"/>
    <w:rsid w:val="00930EBC"/>
    <w:rsid w:val="009A7079"/>
    <w:rsid w:val="009B2ECA"/>
    <w:rsid w:val="009E35AD"/>
    <w:rsid w:val="00A15B39"/>
    <w:rsid w:val="00B503CE"/>
    <w:rsid w:val="00BF6F03"/>
    <w:rsid w:val="00C104DA"/>
    <w:rsid w:val="00C87BB7"/>
    <w:rsid w:val="00CE4BE1"/>
    <w:rsid w:val="00D22650"/>
    <w:rsid w:val="00D81126"/>
    <w:rsid w:val="00DA3B27"/>
    <w:rsid w:val="00E126A7"/>
    <w:rsid w:val="00EA15DC"/>
    <w:rsid w:val="00E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14A5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Marka ARTMELADZE</cp:lastModifiedBy>
  <cp:revision>56</cp:revision>
  <dcterms:created xsi:type="dcterms:W3CDTF">2014-08-21T22:12:00Z</dcterms:created>
  <dcterms:modified xsi:type="dcterms:W3CDTF">2024-09-19T09:29:00Z</dcterms:modified>
</cp:coreProperties>
</file>